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47CF" w14:textId="77777777" w:rsidR="00065F58" w:rsidRPr="00EB7D01" w:rsidRDefault="00065F58" w:rsidP="006F29B5">
      <w:pPr>
        <w:spacing w:line="300" w:lineRule="auto"/>
        <w:contextualSpacing/>
        <w:jc w:val="center"/>
        <w:rPr>
          <w:rFonts w:ascii="Arial" w:hAnsi="Arial" w:cs="Arial"/>
          <w:b/>
          <w:sz w:val="28"/>
          <w:szCs w:val="21"/>
        </w:rPr>
      </w:pPr>
      <w:r w:rsidRPr="00EB7D01">
        <w:rPr>
          <w:rFonts w:ascii="Arial" w:hAnsi="Arial" w:cs="Arial"/>
          <w:b/>
          <w:sz w:val="28"/>
          <w:szCs w:val="21"/>
        </w:rPr>
        <w:t>AVIATION INSURANCE CLAUSES GROUP</w:t>
      </w:r>
    </w:p>
    <w:p w14:paraId="5C9B967B" w14:textId="77777777" w:rsidR="006F29B5" w:rsidRPr="003904B1" w:rsidRDefault="006F29B5" w:rsidP="006F29B5">
      <w:pPr>
        <w:spacing w:line="300" w:lineRule="auto"/>
        <w:contextualSpacing/>
        <w:rPr>
          <w:rFonts w:ascii="Arial" w:hAnsi="Arial" w:cs="Arial"/>
          <w:b/>
          <w:sz w:val="21"/>
          <w:szCs w:val="21"/>
        </w:rPr>
      </w:pPr>
    </w:p>
    <w:p w14:paraId="57E8D50F" w14:textId="57D761D5" w:rsidR="005F28CC" w:rsidRDefault="008E2994" w:rsidP="002C5E8C">
      <w:pPr>
        <w:spacing w:line="288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21</w:t>
      </w:r>
      <w:r w:rsidR="00805196">
        <w:rPr>
          <w:rFonts w:ascii="Arial" w:hAnsi="Arial" w:cs="Arial"/>
          <w:b/>
          <w:sz w:val="21"/>
          <w:szCs w:val="21"/>
        </w:rPr>
        <w:t xml:space="preserve"> July</w:t>
      </w:r>
      <w:r w:rsidR="00980E7D">
        <w:rPr>
          <w:rFonts w:ascii="Arial" w:hAnsi="Arial" w:cs="Arial"/>
          <w:b/>
          <w:sz w:val="21"/>
          <w:szCs w:val="21"/>
        </w:rPr>
        <w:t xml:space="preserve"> </w:t>
      </w:r>
      <w:r w:rsidR="006B7C75">
        <w:rPr>
          <w:rFonts w:ascii="Arial" w:hAnsi="Arial" w:cs="Arial"/>
          <w:b/>
          <w:sz w:val="21"/>
          <w:szCs w:val="21"/>
        </w:rPr>
        <w:t>20</w:t>
      </w:r>
      <w:r w:rsidR="002C5E8C">
        <w:rPr>
          <w:rFonts w:ascii="Arial" w:hAnsi="Arial" w:cs="Arial"/>
          <w:b/>
          <w:sz w:val="21"/>
          <w:szCs w:val="21"/>
        </w:rPr>
        <w:t>2</w:t>
      </w:r>
      <w:r w:rsidR="009F63EF">
        <w:rPr>
          <w:rFonts w:ascii="Arial" w:hAnsi="Arial" w:cs="Arial"/>
          <w:b/>
          <w:sz w:val="21"/>
          <w:szCs w:val="21"/>
        </w:rPr>
        <w:t>5</w:t>
      </w:r>
    </w:p>
    <w:p w14:paraId="1A427B44" w14:textId="77777777" w:rsidR="00065F58" w:rsidRPr="003904B1" w:rsidRDefault="007A3E2F" w:rsidP="002C5E8C">
      <w:pPr>
        <w:spacing w:line="288" w:lineRule="auto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b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  <w:u w:val="single"/>
        </w:rPr>
        <w:t>Chair</w:t>
      </w:r>
      <w:r w:rsidRPr="003904B1">
        <w:rPr>
          <w:rFonts w:ascii="Arial" w:hAnsi="Arial" w:cs="Arial"/>
          <w:sz w:val="21"/>
          <w:szCs w:val="21"/>
          <w:u w:val="single"/>
        </w:rPr>
        <w:t>:</w:t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</w:rPr>
        <w:tab/>
      </w:r>
      <w:r w:rsidR="008E5F6A" w:rsidRPr="003904B1">
        <w:rPr>
          <w:rFonts w:ascii="Arial" w:hAnsi="Arial" w:cs="Arial"/>
          <w:sz w:val="21"/>
          <w:szCs w:val="21"/>
        </w:rPr>
        <w:t>Graham Spencer-Brown</w:t>
      </w:r>
      <w:r w:rsidR="00EA3DB0" w:rsidRPr="003904B1">
        <w:rPr>
          <w:rFonts w:ascii="Arial" w:hAnsi="Arial" w:cs="Arial"/>
          <w:sz w:val="21"/>
          <w:szCs w:val="21"/>
        </w:rPr>
        <w:t xml:space="preserve"> </w:t>
      </w:r>
    </w:p>
    <w:p w14:paraId="037F98E1" w14:textId="77777777" w:rsidR="005D51F6" w:rsidRPr="003904B1" w:rsidRDefault="005D51F6" w:rsidP="002C5E8C">
      <w:pPr>
        <w:spacing w:line="288" w:lineRule="auto"/>
        <w:rPr>
          <w:rFonts w:ascii="Arial" w:hAnsi="Arial" w:cs="Arial"/>
          <w:sz w:val="8"/>
          <w:szCs w:val="21"/>
          <w:u w:val="single"/>
        </w:rPr>
      </w:pPr>
    </w:p>
    <w:p w14:paraId="5118938E" w14:textId="77777777" w:rsidR="005D51F6" w:rsidRPr="003904B1" w:rsidRDefault="007A3E2F" w:rsidP="00233CFA">
      <w:pPr>
        <w:spacing w:line="276" w:lineRule="auto"/>
        <w:ind w:left="3600" w:right="-47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  <w:u w:val="single"/>
        </w:rPr>
        <w:t>Secretariat:</w:t>
      </w:r>
      <w:r w:rsidR="005D51F6" w:rsidRPr="003904B1">
        <w:rPr>
          <w:rFonts w:ascii="Arial" w:hAnsi="Arial" w:cs="Arial"/>
          <w:sz w:val="21"/>
          <w:szCs w:val="21"/>
        </w:rPr>
        <w:tab/>
        <w:t xml:space="preserve">International Underwriting Association </w:t>
      </w:r>
      <w:r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E412A5" w:rsidRPr="003904B1">
        <w:rPr>
          <w:rFonts w:ascii="Arial" w:hAnsi="Arial" w:cs="Arial"/>
          <w:sz w:val="21"/>
          <w:szCs w:val="21"/>
        </w:rPr>
        <w:tab/>
      </w:r>
      <w:r w:rsidR="00EA7688" w:rsidRPr="003904B1">
        <w:rPr>
          <w:rFonts w:ascii="Arial" w:hAnsi="Arial" w:cs="Arial"/>
          <w:sz w:val="21"/>
          <w:szCs w:val="21"/>
        </w:rPr>
        <w:t>8</w:t>
      </w:r>
      <w:r w:rsidR="00EA7688" w:rsidRPr="003904B1">
        <w:rPr>
          <w:rFonts w:ascii="Arial" w:hAnsi="Arial" w:cs="Arial"/>
          <w:sz w:val="21"/>
          <w:szCs w:val="21"/>
          <w:vertAlign w:val="superscript"/>
        </w:rPr>
        <w:t>th</w:t>
      </w:r>
      <w:r w:rsidR="00EA7688" w:rsidRPr="003904B1">
        <w:rPr>
          <w:rFonts w:ascii="Arial" w:hAnsi="Arial" w:cs="Arial"/>
          <w:sz w:val="21"/>
          <w:szCs w:val="21"/>
        </w:rPr>
        <w:t xml:space="preserve"> Floor</w:t>
      </w:r>
      <w:r w:rsidR="00EA3DB0" w:rsidRPr="003904B1">
        <w:rPr>
          <w:rFonts w:ascii="Arial" w:hAnsi="Arial" w:cs="Arial"/>
          <w:sz w:val="21"/>
          <w:szCs w:val="21"/>
        </w:rPr>
        <w:t xml:space="preserve">, </w:t>
      </w:r>
      <w:r w:rsidR="00EA7688" w:rsidRPr="003904B1">
        <w:rPr>
          <w:rFonts w:ascii="Arial" w:hAnsi="Arial" w:cs="Arial"/>
          <w:sz w:val="21"/>
          <w:szCs w:val="21"/>
        </w:rPr>
        <w:t>1</w:t>
      </w:r>
      <w:r w:rsidR="005D51F6" w:rsidRPr="003904B1">
        <w:rPr>
          <w:rFonts w:ascii="Arial" w:hAnsi="Arial" w:cs="Arial"/>
          <w:sz w:val="21"/>
          <w:szCs w:val="21"/>
        </w:rPr>
        <w:t xml:space="preserve"> Minster Court, Mincing Lane</w:t>
      </w:r>
    </w:p>
    <w:p w14:paraId="36E181AF" w14:textId="77777777" w:rsidR="00073605" w:rsidRPr="003904B1" w:rsidRDefault="005D51F6" w:rsidP="00233CFA">
      <w:pPr>
        <w:spacing w:line="276" w:lineRule="auto"/>
        <w:ind w:left="5040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London</w:t>
      </w:r>
      <w:r w:rsidR="00BB4843" w:rsidRPr="003904B1">
        <w:rPr>
          <w:rFonts w:ascii="Arial" w:hAnsi="Arial" w:cs="Arial"/>
          <w:sz w:val="21"/>
          <w:szCs w:val="21"/>
        </w:rPr>
        <w:t>,</w:t>
      </w:r>
      <w:r w:rsidRPr="003904B1">
        <w:rPr>
          <w:rFonts w:ascii="Arial" w:hAnsi="Arial" w:cs="Arial"/>
          <w:sz w:val="21"/>
          <w:szCs w:val="21"/>
        </w:rPr>
        <w:t xml:space="preserve"> EC3R</w:t>
      </w:r>
      <w:r w:rsidR="00073605" w:rsidRPr="003904B1">
        <w:rPr>
          <w:rFonts w:ascii="Arial" w:hAnsi="Arial" w:cs="Arial"/>
          <w:sz w:val="21"/>
          <w:szCs w:val="21"/>
        </w:rPr>
        <w:t xml:space="preserve"> 7</w:t>
      </w:r>
      <w:r w:rsidR="00EA7688" w:rsidRPr="003904B1">
        <w:rPr>
          <w:rFonts w:ascii="Arial" w:hAnsi="Arial" w:cs="Arial"/>
          <w:sz w:val="21"/>
          <w:szCs w:val="21"/>
        </w:rPr>
        <w:t>AA</w:t>
      </w:r>
    </w:p>
    <w:p w14:paraId="0438DAEA" w14:textId="77777777" w:rsidR="00742346" w:rsidRPr="003904B1" w:rsidRDefault="00D475ED" w:rsidP="00742346">
      <w:pPr>
        <w:spacing w:after="120" w:line="276" w:lineRule="auto"/>
        <w:ind w:left="504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Tel: 020 7617 5447</w:t>
      </w:r>
    </w:p>
    <w:p w14:paraId="1432E94D" w14:textId="77777777" w:rsidR="0011243B" w:rsidRPr="00233CFA" w:rsidRDefault="0011243B" w:rsidP="002C5E8C">
      <w:pPr>
        <w:spacing w:line="288" w:lineRule="auto"/>
        <w:rPr>
          <w:rFonts w:ascii="Arial" w:hAnsi="Arial" w:cs="Arial"/>
          <w:b/>
          <w:sz w:val="6"/>
          <w:szCs w:val="21"/>
        </w:rPr>
      </w:pPr>
    </w:p>
    <w:p w14:paraId="002CDB7C" w14:textId="77777777" w:rsidR="005F28CC" w:rsidRPr="00233CFA" w:rsidRDefault="0011243B" w:rsidP="00742346">
      <w:pPr>
        <w:spacing w:line="288" w:lineRule="auto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To</w:t>
      </w:r>
      <w:r w:rsidR="005D51F6" w:rsidRPr="00233CFA">
        <w:rPr>
          <w:rFonts w:ascii="Arial" w:hAnsi="Arial" w:cs="Arial"/>
          <w:sz w:val="20"/>
          <w:szCs w:val="21"/>
        </w:rPr>
        <w:t>:</w:t>
      </w:r>
      <w:r w:rsidRPr="00233CFA">
        <w:rPr>
          <w:rFonts w:ascii="Arial" w:hAnsi="Arial" w:cs="Arial"/>
          <w:sz w:val="20"/>
          <w:szCs w:val="21"/>
        </w:rPr>
        <w:t xml:space="preserve"> </w:t>
      </w:r>
      <w:r w:rsidRPr="00233CFA">
        <w:rPr>
          <w:rFonts w:ascii="Arial" w:hAnsi="Arial" w:cs="Arial"/>
          <w:sz w:val="20"/>
          <w:szCs w:val="21"/>
        </w:rPr>
        <w:tab/>
      </w:r>
      <w:r w:rsidR="00F04300" w:rsidRPr="00233CFA">
        <w:rPr>
          <w:rFonts w:ascii="Arial" w:hAnsi="Arial" w:cs="Arial"/>
          <w:sz w:val="20"/>
          <w:szCs w:val="21"/>
        </w:rPr>
        <w:t>Bill Smith</w:t>
      </w:r>
      <w:r w:rsidR="005F28CC" w:rsidRPr="00233CFA">
        <w:rPr>
          <w:rFonts w:ascii="Arial" w:hAnsi="Arial" w:cs="Arial"/>
          <w:sz w:val="20"/>
          <w:szCs w:val="21"/>
        </w:rPr>
        <w:t xml:space="preserve">, Chair, LIIBA Aviation Executive Committee </w:t>
      </w:r>
    </w:p>
    <w:p w14:paraId="53ECD37A" w14:textId="77777777" w:rsidR="007A3E2F" w:rsidRPr="00233CFA" w:rsidRDefault="00EA3DB0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Jette Varnals</w:t>
      </w:r>
      <w:r w:rsidR="007A3E2F" w:rsidRPr="00233CFA">
        <w:rPr>
          <w:rFonts w:ascii="Arial" w:hAnsi="Arial" w:cs="Arial"/>
          <w:sz w:val="20"/>
          <w:szCs w:val="21"/>
        </w:rPr>
        <w:t>, Chair</w:t>
      </w:r>
      <w:r w:rsidR="003D6206" w:rsidRPr="00233CFA">
        <w:rPr>
          <w:rFonts w:ascii="Arial" w:hAnsi="Arial" w:cs="Arial"/>
          <w:sz w:val="20"/>
          <w:szCs w:val="21"/>
        </w:rPr>
        <w:t>,</w:t>
      </w:r>
      <w:r w:rsidR="007A3E2F" w:rsidRPr="00233CFA">
        <w:rPr>
          <w:rFonts w:ascii="Arial" w:hAnsi="Arial" w:cs="Arial"/>
          <w:sz w:val="20"/>
          <w:szCs w:val="21"/>
        </w:rPr>
        <w:t xml:space="preserve"> IUA</w:t>
      </w:r>
      <w:r w:rsidR="00065F58" w:rsidRPr="00233CFA">
        <w:rPr>
          <w:rFonts w:ascii="Arial" w:hAnsi="Arial" w:cs="Arial"/>
          <w:sz w:val="20"/>
          <w:szCs w:val="21"/>
        </w:rPr>
        <w:t xml:space="preserve"> Aviation Technical Committee</w:t>
      </w:r>
    </w:p>
    <w:p w14:paraId="3F79C856" w14:textId="56FB27E5" w:rsidR="002C5E8C" w:rsidRPr="00233CFA" w:rsidRDefault="00290626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Simon Herring</w:t>
      </w:r>
      <w:r w:rsidR="002C5E8C" w:rsidRPr="00233CFA">
        <w:rPr>
          <w:rFonts w:ascii="Arial" w:hAnsi="Arial" w:cs="Arial"/>
          <w:sz w:val="20"/>
          <w:szCs w:val="21"/>
        </w:rPr>
        <w:t>, Chair, LMA Aviation Committee</w:t>
      </w:r>
    </w:p>
    <w:p w14:paraId="3E076B60" w14:textId="77777777" w:rsidR="00065F58" w:rsidRPr="00233CFA" w:rsidRDefault="00065F58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1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</w:p>
    <w:p w14:paraId="3DAF1D70" w14:textId="77777777" w:rsidR="00065F58" w:rsidRPr="00233CFA" w:rsidRDefault="00065F58" w:rsidP="00742346">
      <w:pPr>
        <w:spacing w:line="288" w:lineRule="auto"/>
        <w:jc w:val="center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[LETTER SENT BY EMAIL</w:t>
      </w:r>
      <w:r w:rsidR="003469AA" w:rsidRPr="00233CFA">
        <w:rPr>
          <w:rFonts w:ascii="Arial" w:hAnsi="Arial" w:cs="Arial"/>
          <w:sz w:val="20"/>
          <w:szCs w:val="21"/>
        </w:rPr>
        <w:t xml:space="preserve"> AND PUBLISHED ON THE AICG WEBSITE</w:t>
      </w:r>
      <w:r w:rsidRPr="00233CFA">
        <w:rPr>
          <w:rFonts w:ascii="Arial" w:hAnsi="Arial" w:cs="Arial"/>
          <w:sz w:val="20"/>
          <w:szCs w:val="21"/>
        </w:rPr>
        <w:t>]</w:t>
      </w:r>
    </w:p>
    <w:p w14:paraId="02092A2F" w14:textId="77777777" w:rsidR="003469AA" w:rsidRPr="00A96236" w:rsidRDefault="003469AA" w:rsidP="00742346">
      <w:pPr>
        <w:spacing w:line="288" w:lineRule="auto"/>
        <w:jc w:val="both"/>
        <w:rPr>
          <w:rFonts w:ascii="Arial" w:hAnsi="Arial" w:cs="Arial"/>
          <w:sz w:val="16"/>
          <w:szCs w:val="21"/>
        </w:rPr>
      </w:pPr>
    </w:p>
    <w:p w14:paraId="34A3EE0B" w14:textId="77777777" w:rsidR="00065F58" w:rsidRPr="00233CFA" w:rsidRDefault="00065F58" w:rsidP="00742346">
      <w:pPr>
        <w:spacing w:line="288" w:lineRule="auto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Dear Chair</w:t>
      </w:r>
      <w:r w:rsidR="003904B1" w:rsidRPr="00233CFA">
        <w:rPr>
          <w:rFonts w:ascii="Arial" w:hAnsi="Arial" w:cs="Arial"/>
          <w:sz w:val="20"/>
          <w:szCs w:val="21"/>
        </w:rPr>
        <w:t>s</w:t>
      </w:r>
      <w:r w:rsidRPr="00233CFA">
        <w:rPr>
          <w:rFonts w:ascii="Arial" w:hAnsi="Arial" w:cs="Arial"/>
          <w:sz w:val="20"/>
          <w:szCs w:val="21"/>
        </w:rPr>
        <w:t>,</w:t>
      </w:r>
    </w:p>
    <w:p w14:paraId="0FEFF2D8" w14:textId="02E52FD7" w:rsidR="00EA3DB0" w:rsidRPr="00233CFA" w:rsidRDefault="009E58BA" w:rsidP="00742346">
      <w:pPr>
        <w:spacing w:line="288" w:lineRule="auto"/>
        <w:jc w:val="center"/>
        <w:rPr>
          <w:rFonts w:ascii="Arial" w:hAnsi="Arial" w:cs="Arial"/>
          <w:b/>
          <w:sz w:val="20"/>
          <w:szCs w:val="21"/>
        </w:rPr>
      </w:pPr>
      <w:r w:rsidRPr="00233CFA">
        <w:rPr>
          <w:rFonts w:ascii="Arial" w:hAnsi="Arial" w:cs="Arial"/>
          <w:b/>
          <w:sz w:val="20"/>
          <w:szCs w:val="21"/>
        </w:rPr>
        <w:t xml:space="preserve">AICG </w:t>
      </w:r>
      <w:r w:rsidR="00473F1B" w:rsidRPr="00233CFA">
        <w:rPr>
          <w:rFonts w:ascii="Arial" w:hAnsi="Arial" w:cs="Arial"/>
          <w:b/>
          <w:sz w:val="20"/>
          <w:szCs w:val="21"/>
        </w:rPr>
        <w:t>CONSULTATION DRAFT</w:t>
      </w:r>
      <w:r w:rsidR="001774EA" w:rsidRPr="00233CFA">
        <w:rPr>
          <w:rFonts w:ascii="Arial" w:hAnsi="Arial" w:cs="Arial"/>
          <w:b/>
          <w:sz w:val="20"/>
          <w:szCs w:val="21"/>
        </w:rPr>
        <w:t xml:space="preserve"> </w:t>
      </w:r>
      <w:r w:rsidR="00414C1A">
        <w:rPr>
          <w:rFonts w:ascii="Arial" w:hAnsi="Arial" w:cs="Arial"/>
          <w:b/>
          <w:sz w:val="20"/>
          <w:szCs w:val="21"/>
        </w:rPr>
        <w:t>69</w:t>
      </w:r>
      <w:r w:rsidR="00C92081" w:rsidRPr="00233CFA">
        <w:rPr>
          <w:rFonts w:ascii="Arial" w:hAnsi="Arial" w:cs="Arial"/>
          <w:b/>
          <w:sz w:val="20"/>
          <w:szCs w:val="21"/>
        </w:rPr>
        <w:t xml:space="preserve"> (‘CD</w:t>
      </w:r>
      <w:r w:rsidR="00414C1A">
        <w:rPr>
          <w:rFonts w:ascii="Arial" w:hAnsi="Arial" w:cs="Arial"/>
          <w:b/>
          <w:sz w:val="20"/>
          <w:szCs w:val="21"/>
        </w:rPr>
        <w:t>69</w:t>
      </w:r>
      <w:r w:rsidR="008F4F84" w:rsidRPr="00233CFA">
        <w:rPr>
          <w:rFonts w:ascii="Arial" w:hAnsi="Arial" w:cs="Arial"/>
          <w:b/>
          <w:sz w:val="20"/>
          <w:szCs w:val="21"/>
        </w:rPr>
        <w:t>’)</w:t>
      </w:r>
    </w:p>
    <w:p w14:paraId="03440098" w14:textId="2BB186BF" w:rsidR="00754B6F" w:rsidRPr="00A748EE" w:rsidRDefault="003919DA" w:rsidP="00742346">
      <w:pPr>
        <w:spacing w:line="288" w:lineRule="auto"/>
        <w:jc w:val="center"/>
        <w:outlineLvl w:val="0"/>
        <w:rPr>
          <w:rFonts w:ascii="Arial" w:hAnsi="Arial" w:cs="Arial"/>
          <w:b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 xml:space="preserve">AVIATION </w:t>
      </w:r>
      <w:r w:rsidR="00016125">
        <w:rPr>
          <w:rFonts w:ascii="Arial" w:hAnsi="Arial" w:cs="Arial"/>
          <w:b/>
          <w:sz w:val="20"/>
          <w:szCs w:val="21"/>
        </w:rPr>
        <w:t>SEASONAL CANCELLATION TABLE</w:t>
      </w:r>
    </w:p>
    <w:p w14:paraId="62D77C91" w14:textId="77777777" w:rsidR="00A748EE" w:rsidRPr="00233CFA" w:rsidRDefault="00A748EE" w:rsidP="00742346">
      <w:pPr>
        <w:spacing w:line="288" w:lineRule="auto"/>
        <w:jc w:val="center"/>
        <w:outlineLvl w:val="0"/>
        <w:rPr>
          <w:rFonts w:ascii="Arial" w:hAnsi="Arial" w:cs="Arial"/>
          <w:b/>
          <w:bCs/>
          <w:sz w:val="16"/>
          <w:szCs w:val="21"/>
        </w:rPr>
      </w:pPr>
    </w:p>
    <w:p w14:paraId="65CF6FCB" w14:textId="77777777" w:rsidR="00DB16F0" w:rsidRDefault="00DB16F0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55BF282E" w14:textId="5124A7ED" w:rsidR="00D62705" w:rsidRPr="00CE11E7" w:rsidRDefault="00D62705" w:rsidP="00D62705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E11E7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early </w:t>
      </w:r>
      <w:r w:rsidR="00BC79C3">
        <w:rPr>
          <w:rFonts w:ascii="Arial" w:hAnsi="Arial" w:cs="Arial"/>
          <w:sz w:val="20"/>
          <w:szCs w:val="20"/>
          <w:lang w:val="en-US"/>
        </w:rPr>
        <w:t>2025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, AICG received a request from a market participant to </w:t>
      </w:r>
      <w:r w:rsidR="00E32888">
        <w:rPr>
          <w:rFonts w:ascii="Arial" w:hAnsi="Arial" w:cs="Arial"/>
          <w:sz w:val="20"/>
          <w:szCs w:val="20"/>
          <w:lang w:val="en-US"/>
        </w:rPr>
        <w:t xml:space="preserve">review </w:t>
      </w:r>
      <w:r w:rsidR="002A11D8">
        <w:rPr>
          <w:rFonts w:ascii="Arial" w:hAnsi="Arial" w:cs="Arial"/>
          <w:sz w:val="20"/>
          <w:szCs w:val="20"/>
          <w:lang w:val="en-US"/>
        </w:rPr>
        <w:t xml:space="preserve">and update </w:t>
      </w:r>
      <w:r w:rsidR="00656E91">
        <w:rPr>
          <w:rFonts w:ascii="Arial" w:hAnsi="Arial" w:cs="Arial"/>
          <w:sz w:val="20"/>
          <w:szCs w:val="20"/>
          <w:lang w:val="en-US"/>
        </w:rPr>
        <w:t>the Aviation Seasonal Cancellation Table ‘Orion Drake’.</w:t>
      </w:r>
      <w:r w:rsidR="00DC2DF6">
        <w:rPr>
          <w:rFonts w:ascii="Arial" w:hAnsi="Arial" w:cs="Arial"/>
          <w:sz w:val="20"/>
          <w:szCs w:val="20"/>
          <w:lang w:val="en-US"/>
        </w:rPr>
        <w:t xml:space="preserve"> It was discussed that this clause was typically used for </w:t>
      </w:r>
      <w:r w:rsidR="002358D2">
        <w:rPr>
          <w:rFonts w:ascii="Arial" w:hAnsi="Arial" w:cs="Arial"/>
          <w:sz w:val="20"/>
          <w:szCs w:val="20"/>
          <w:lang w:val="en-US"/>
        </w:rPr>
        <w:t xml:space="preserve">seasonal </w:t>
      </w:r>
      <w:r w:rsidR="00DC2DF6">
        <w:rPr>
          <w:rFonts w:ascii="Arial" w:hAnsi="Arial" w:cs="Arial"/>
          <w:sz w:val="20"/>
          <w:szCs w:val="20"/>
          <w:lang w:val="en-US"/>
        </w:rPr>
        <w:t>a</w:t>
      </w:r>
      <w:r w:rsidR="00DC2DF6" w:rsidRPr="00DC2DF6">
        <w:rPr>
          <w:rFonts w:ascii="Arial" w:hAnsi="Arial" w:cs="Arial"/>
          <w:sz w:val="20"/>
          <w:szCs w:val="20"/>
          <w:lang w:val="en-US"/>
        </w:rPr>
        <w:t xml:space="preserve">erial </w:t>
      </w:r>
      <w:r w:rsidR="00DC2DF6">
        <w:rPr>
          <w:rFonts w:ascii="Arial" w:hAnsi="Arial" w:cs="Arial"/>
          <w:sz w:val="20"/>
          <w:szCs w:val="20"/>
          <w:lang w:val="en-US"/>
        </w:rPr>
        <w:t>a</w:t>
      </w:r>
      <w:r w:rsidR="00DC2DF6" w:rsidRPr="00DC2DF6">
        <w:rPr>
          <w:rFonts w:ascii="Arial" w:hAnsi="Arial" w:cs="Arial"/>
          <w:sz w:val="20"/>
          <w:szCs w:val="20"/>
          <w:lang w:val="en-US"/>
        </w:rPr>
        <w:t>pplication</w:t>
      </w:r>
      <w:r w:rsidR="002358D2" w:rsidRPr="002358D2">
        <w:rPr>
          <w:rFonts w:ascii="Arial" w:hAnsi="Arial" w:cs="Arial"/>
          <w:sz w:val="20"/>
          <w:szCs w:val="20"/>
          <w:lang w:val="en-US"/>
        </w:rPr>
        <w:t xml:space="preserve"> </w:t>
      </w:r>
      <w:r w:rsidR="002358D2">
        <w:rPr>
          <w:rFonts w:ascii="Arial" w:hAnsi="Arial" w:cs="Arial"/>
          <w:sz w:val="20"/>
          <w:szCs w:val="20"/>
          <w:lang w:val="en-US"/>
        </w:rPr>
        <w:t>and had not been published as a standalone clause, rather it was embedded into an existing LPO form (LPO417D).</w:t>
      </w:r>
      <w:r w:rsidR="00656E91">
        <w:rPr>
          <w:rFonts w:ascii="Arial" w:hAnsi="Arial" w:cs="Arial"/>
          <w:sz w:val="20"/>
          <w:szCs w:val="20"/>
          <w:lang w:val="en-US"/>
        </w:rPr>
        <w:t xml:space="preserve"> </w:t>
      </w:r>
      <w:r w:rsidR="004A70C2">
        <w:rPr>
          <w:rFonts w:ascii="Arial" w:hAnsi="Arial" w:cs="Arial"/>
          <w:sz w:val="20"/>
          <w:szCs w:val="20"/>
          <w:lang w:val="en-US"/>
        </w:rPr>
        <w:t>The AICG was advised that t</w:t>
      </w:r>
      <w:r w:rsidR="00656E91">
        <w:rPr>
          <w:rFonts w:ascii="Arial" w:hAnsi="Arial" w:cs="Arial"/>
          <w:sz w:val="20"/>
          <w:szCs w:val="20"/>
          <w:lang w:val="en-US"/>
        </w:rPr>
        <w:t xml:space="preserve">here was limited familiarity </w:t>
      </w:r>
      <w:r w:rsidR="00D8013C">
        <w:rPr>
          <w:rFonts w:ascii="Arial" w:hAnsi="Arial" w:cs="Arial"/>
          <w:sz w:val="20"/>
          <w:szCs w:val="20"/>
          <w:lang w:val="en-US"/>
        </w:rPr>
        <w:t>with</w:t>
      </w:r>
      <w:r w:rsidR="00656E91">
        <w:rPr>
          <w:rFonts w:ascii="Arial" w:hAnsi="Arial" w:cs="Arial"/>
          <w:sz w:val="20"/>
          <w:szCs w:val="20"/>
          <w:lang w:val="en-US"/>
        </w:rPr>
        <w:t xml:space="preserve"> the clause amongst market participants and </w:t>
      </w:r>
      <w:r w:rsidR="002358D2">
        <w:rPr>
          <w:rFonts w:ascii="Arial" w:hAnsi="Arial" w:cs="Arial"/>
          <w:sz w:val="20"/>
          <w:szCs w:val="20"/>
          <w:lang w:val="en-US"/>
        </w:rPr>
        <w:t xml:space="preserve">suggested that issuing a standalone clause would provide value for market participants. </w:t>
      </w:r>
    </w:p>
    <w:p w14:paraId="1B4CDD26" w14:textId="77777777" w:rsidR="000A555B" w:rsidRPr="00CE11E7" w:rsidRDefault="000A555B" w:rsidP="00D62705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E539C0A" w14:textId="678246C9" w:rsidR="00D62705" w:rsidRDefault="00D62705" w:rsidP="00D62705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E11E7">
        <w:rPr>
          <w:rFonts w:ascii="Arial" w:hAnsi="Arial" w:cs="Arial"/>
          <w:sz w:val="20"/>
          <w:szCs w:val="20"/>
          <w:lang w:val="en-US"/>
        </w:rPr>
        <w:t xml:space="preserve">The AICG considered the request and agreed that it would be appropriate to </w:t>
      </w:r>
      <w:r>
        <w:rPr>
          <w:rFonts w:ascii="Arial" w:hAnsi="Arial" w:cs="Arial"/>
          <w:sz w:val="20"/>
          <w:szCs w:val="20"/>
          <w:lang w:val="en-US"/>
        </w:rPr>
        <w:t xml:space="preserve">draft a model </w:t>
      </w:r>
      <w:r w:rsidR="00770D59">
        <w:rPr>
          <w:rFonts w:ascii="Arial" w:hAnsi="Arial" w:cs="Arial"/>
          <w:sz w:val="20"/>
          <w:szCs w:val="20"/>
          <w:lang w:val="en-US"/>
        </w:rPr>
        <w:t>clause</w:t>
      </w:r>
      <w:r>
        <w:rPr>
          <w:rFonts w:ascii="Arial" w:hAnsi="Arial" w:cs="Arial"/>
          <w:sz w:val="20"/>
          <w:szCs w:val="20"/>
          <w:lang w:val="en-US"/>
        </w:rPr>
        <w:t xml:space="preserve"> for market consultation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. </w:t>
      </w:r>
      <w:r w:rsidR="008D4BF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895ED6B" w14:textId="77777777" w:rsidR="00D62705" w:rsidRDefault="00D62705" w:rsidP="00D62705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7B3BE251" w14:textId="77777777" w:rsidR="00770D59" w:rsidRDefault="00D62705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</w:t>
      </w:r>
      <w:r w:rsidR="00770D59">
        <w:rPr>
          <w:rFonts w:ascii="Arial" w:hAnsi="Arial" w:cs="Arial"/>
          <w:sz w:val="20"/>
          <w:szCs w:val="20"/>
          <w:lang w:val="en-US"/>
        </w:rPr>
        <w:t>clause</w:t>
      </w:r>
      <w:r>
        <w:rPr>
          <w:rFonts w:ascii="Arial" w:hAnsi="Arial" w:cs="Arial"/>
          <w:sz w:val="20"/>
          <w:szCs w:val="20"/>
          <w:lang w:val="en-US"/>
        </w:rPr>
        <w:t xml:space="preserve"> was subsequently drafted and considered by the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 full AICG membership</w:t>
      </w:r>
      <w:r>
        <w:rPr>
          <w:rFonts w:ascii="Arial" w:hAnsi="Arial" w:cs="Arial"/>
          <w:sz w:val="20"/>
          <w:szCs w:val="20"/>
          <w:lang w:val="en-US"/>
        </w:rPr>
        <w:t>. The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AICG 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Chair has agreed that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770D59">
        <w:rPr>
          <w:rFonts w:ascii="Arial" w:hAnsi="Arial" w:cs="Arial"/>
          <w:sz w:val="20"/>
          <w:szCs w:val="20"/>
          <w:lang w:val="en-US"/>
        </w:rPr>
        <w:t>clause</w:t>
      </w:r>
      <w:r>
        <w:rPr>
          <w:rFonts w:ascii="Arial" w:hAnsi="Arial" w:cs="Arial"/>
          <w:sz w:val="20"/>
          <w:szCs w:val="20"/>
          <w:lang w:val="en-US"/>
        </w:rPr>
        <w:t xml:space="preserve"> should 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proceed to market consultation. The draft </w:t>
      </w:r>
      <w:r w:rsidR="00C464C0">
        <w:rPr>
          <w:rFonts w:ascii="Arial" w:hAnsi="Arial" w:cs="Arial"/>
          <w:sz w:val="20"/>
          <w:szCs w:val="20"/>
          <w:lang w:val="en-US"/>
        </w:rPr>
        <w:t>is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 attached to this letter for convenience and will shortly be added to the AICG website, accessible via </w:t>
      </w:r>
      <w:hyperlink r:id="rId12" w:history="1">
        <w:r w:rsidRPr="00CE11E7">
          <w:rPr>
            <w:rStyle w:val="Hyperlink"/>
            <w:rFonts w:ascii="Arial" w:hAnsi="Arial" w:cs="Arial"/>
            <w:sz w:val="20"/>
            <w:szCs w:val="20"/>
            <w:lang w:val="en-US"/>
          </w:rPr>
          <w:t>AICG Activity</w:t>
        </w:r>
      </w:hyperlink>
      <w:r w:rsidRPr="00CE11E7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3C761B4" w14:textId="77777777" w:rsidR="00770D59" w:rsidRDefault="00770D59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863F780" w14:textId="064120C5" w:rsidR="00770D59" w:rsidRPr="00CE11E7" w:rsidRDefault="00D0227B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E11E7">
        <w:rPr>
          <w:rFonts w:ascii="Arial" w:hAnsi="Arial" w:cs="Arial"/>
          <w:sz w:val="20"/>
          <w:szCs w:val="20"/>
          <w:lang w:val="en-US"/>
        </w:rPr>
        <w:t xml:space="preserve">We welcome comments on the proposed </w:t>
      </w:r>
      <w:r w:rsidR="008364A2">
        <w:rPr>
          <w:rFonts w:ascii="Arial" w:hAnsi="Arial" w:cs="Arial"/>
          <w:sz w:val="20"/>
          <w:szCs w:val="20"/>
          <w:lang w:val="en-US"/>
        </w:rPr>
        <w:t>wording</w:t>
      </w:r>
      <w:r w:rsidR="006773B6">
        <w:rPr>
          <w:rFonts w:ascii="Arial" w:hAnsi="Arial" w:cs="Arial"/>
          <w:sz w:val="20"/>
          <w:szCs w:val="20"/>
          <w:lang w:val="en-US"/>
        </w:rPr>
        <w:t xml:space="preserve"> and endorsements</w:t>
      </w:r>
      <w:r w:rsidR="00742346">
        <w:rPr>
          <w:rFonts w:ascii="Arial" w:hAnsi="Arial" w:cs="Arial"/>
          <w:sz w:val="20"/>
          <w:szCs w:val="20"/>
          <w:lang w:val="en-US"/>
        </w:rPr>
        <w:t>. A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ICG consultation drafts are subject to </w:t>
      </w:r>
      <w:r w:rsidR="00190FD3">
        <w:rPr>
          <w:rFonts w:ascii="Arial" w:hAnsi="Arial" w:cs="Arial"/>
          <w:sz w:val="20"/>
          <w:szCs w:val="20"/>
          <w:lang w:val="en-US"/>
        </w:rPr>
        <w:t xml:space="preserve">a minimum </w:t>
      </w:r>
      <w:r w:rsidRPr="00CE11E7">
        <w:rPr>
          <w:rFonts w:ascii="Arial" w:hAnsi="Arial" w:cs="Arial"/>
          <w:sz w:val="20"/>
          <w:szCs w:val="20"/>
          <w:lang w:val="en-US"/>
        </w:rPr>
        <w:t>30-day consultation</w:t>
      </w:r>
      <w:r w:rsidR="002A69DC">
        <w:rPr>
          <w:rFonts w:ascii="Arial" w:hAnsi="Arial" w:cs="Arial"/>
          <w:sz w:val="20"/>
          <w:szCs w:val="20"/>
          <w:lang w:val="en-US"/>
        </w:rPr>
        <w:t xml:space="preserve">, but given this consultation coincides with </w:t>
      </w:r>
      <w:r w:rsidR="00D8013C">
        <w:rPr>
          <w:rFonts w:ascii="Arial" w:hAnsi="Arial" w:cs="Arial"/>
          <w:sz w:val="20"/>
          <w:szCs w:val="20"/>
          <w:lang w:val="en-US"/>
        </w:rPr>
        <w:t>s</w:t>
      </w:r>
      <w:r w:rsidR="002A69DC">
        <w:rPr>
          <w:rFonts w:ascii="Arial" w:hAnsi="Arial" w:cs="Arial"/>
          <w:sz w:val="20"/>
          <w:szCs w:val="20"/>
          <w:lang w:val="en-US"/>
        </w:rPr>
        <w:t>ummer holidays, an extended 45-day consultation has been agreed</w:t>
      </w:r>
      <w:r w:rsidR="002A7220">
        <w:rPr>
          <w:rFonts w:ascii="Arial" w:hAnsi="Arial" w:cs="Arial"/>
          <w:sz w:val="20"/>
          <w:szCs w:val="20"/>
          <w:lang w:val="en-US"/>
        </w:rPr>
        <w:t>. Therefore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, could you provide any comments to the AICG Secretariat via the contact details above, addressed to </w:t>
      </w:r>
      <w:hyperlink r:id="rId13" w:history="1">
        <w:r w:rsidR="00980577" w:rsidRPr="0079082C">
          <w:rPr>
            <w:rStyle w:val="Hyperlink"/>
            <w:rFonts w:ascii="Arial" w:hAnsi="Arial" w:cs="Arial"/>
            <w:sz w:val="20"/>
            <w:szCs w:val="20"/>
          </w:rPr>
          <w:t>tom.hughes@iua.co.uk</w:t>
        </w:r>
      </w:hyperlink>
      <w:r w:rsidR="00543F77">
        <w:t>,</w:t>
      </w:r>
      <w:r w:rsidR="00980577">
        <w:rPr>
          <w:rFonts w:ascii="Arial" w:hAnsi="Arial" w:cs="Arial"/>
          <w:sz w:val="20"/>
          <w:szCs w:val="20"/>
        </w:rPr>
        <w:t xml:space="preserve"> 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by close of business on </w:t>
      </w:r>
      <w:r w:rsidR="0066389E">
        <w:rPr>
          <w:rFonts w:ascii="Arial" w:hAnsi="Arial" w:cs="Arial"/>
          <w:sz w:val="20"/>
          <w:szCs w:val="20"/>
          <w:lang w:val="en-US"/>
        </w:rPr>
        <w:t>Wedne</w:t>
      </w:r>
      <w:r w:rsidR="00D8013C">
        <w:rPr>
          <w:rFonts w:ascii="Arial" w:hAnsi="Arial" w:cs="Arial"/>
          <w:sz w:val="20"/>
          <w:szCs w:val="20"/>
          <w:lang w:val="en-US"/>
        </w:rPr>
        <w:t>s</w:t>
      </w:r>
      <w:r w:rsidR="0066389E">
        <w:rPr>
          <w:rFonts w:ascii="Arial" w:hAnsi="Arial" w:cs="Arial"/>
          <w:sz w:val="20"/>
          <w:szCs w:val="20"/>
          <w:lang w:val="en-US"/>
        </w:rPr>
        <w:t xml:space="preserve">day 3 </w:t>
      </w:r>
      <w:r w:rsidR="00935421">
        <w:rPr>
          <w:rFonts w:ascii="Arial" w:hAnsi="Arial" w:cs="Arial"/>
          <w:sz w:val="20"/>
          <w:szCs w:val="20"/>
          <w:lang w:val="en-US"/>
        </w:rPr>
        <w:t>September</w:t>
      </w:r>
      <w:r w:rsidR="008D4B2B">
        <w:rPr>
          <w:rFonts w:ascii="Arial" w:hAnsi="Arial" w:cs="Arial"/>
          <w:sz w:val="20"/>
          <w:szCs w:val="20"/>
          <w:lang w:val="en-US"/>
        </w:rPr>
        <w:t xml:space="preserve"> 2025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605241B7" w14:textId="77777777" w:rsidR="0085213C" w:rsidRPr="00543F77" w:rsidRDefault="0085213C" w:rsidP="00742346">
      <w:pPr>
        <w:keepNext/>
        <w:tabs>
          <w:tab w:val="left" w:pos="0"/>
          <w:tab w:val="left" w:pos="426"/>
          <w:tab w:val="left" w:pos="851"/>
          <w:tab w:val="left" w:pos="1276"/>
          <w:tab w:val="left" w:pos="1701"/>
        </w:tabs>
        <w:spacing w:line="288" w:lineRule="auto"/>
        <w:ind w:right="-45"/>
        <w:jc w:val="both"/>
        <w:rPr>
          <w:rFonts w:ascii="Arial" w:hAnsi="Arial" w:cs="Arial"/>
          <w:sz w:val="16"/>
          <w:szCs w:val="21"/>
          <w:lang w:val="en-US"/>
        </w:rPr>
      </w:pPr>
    </w:p>
    <w:p w14:paraId="4EAFE4F8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45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Yours sincerely,</w:t>
      </w:r>
    </w:p>
    <w:p w14:paraId="4CEFCF9E" w14:textId="182512C5" w:rsidR="00E06FCE" w:rsidRPr="00233CFA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color w:val="00B050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6E94A" wp14:editId="7150FC58">
            <wp:simplePos x="0" y="0"/>
            <wp:positionH relativeFrom="column">
              <wp:posOffset>0</wp:posOffset>
            </wp:positionH>
            <wp:positionV relativeFrom="paragraph">
              <wp:posOffset>120308</wp:posOffset>
            </wp:positionV>
            <wp:extent cx="1140460" cy="457200"/>
            <wp:effectExtent l="0" t="0" r="2540" b="0"/>
            <wp:wrapTight wrapText="bothSides">
              <wp:wrapPolygon edited="0">
                <wp:start x="0" y="0"/>
                <wp:lineTo x="0" y="20700"/>
                <wp:lineTo x="21287" y="20700"/>
                <wp:lineTo x="21287" y="0"/>
                <wp:lineTo x="0" y="0"/>
              </wp:wrapPolygon>
            </wp:wrapTight>
            <wp:docPr id="309465719" name="Picture 1" descr="A blue thread i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65719" name="Picture 1" descr="A blue thread in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E1FA" w14:textId="32C82229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45D07B8D" w14:textId="2A5A958F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B5BE7C5" w14:textId="0B60B5A4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DA75FDC" w14:textId="60991232" w:rsidR="003469AA" w:rsidRPr="00233CFA" w:rsidRDefault="009E3B2C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Thomas Hughes</w:t>
      </w:r>
      <w:r w:rsidR="00E06FCE" w:rsidRPr="00233CFA">
        <w:rPr>
          <w:rFonts w:ascii="Arial" w:hAnsi="Arial" w:cs="Arial"/>
          <w:sz w:val="20"/>
          <w:szCs w:val="21"/>
        </w:rPr>
        <w:t xml:space="preserve"> </w:t>
      </w:r>
      <w:r w:rsidR="0032551B" w:rsidRPr="00233CFA">
        <w:rPr>
          <w:rFonts w:ascii="Arial" w:hAnsi="Arial" w:cs="Arial"/>
          <w:sz w:val="20"/>
          <w:szCs w:val="21"/>
        </w:rPr>
        <w:t>on behalf of Graham Spencer-Brown</w:t>
      </w:r>
    </w:p>
    <w:p w14:paraId="49155EA7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(Secretary, AICG)</w:t>
      </w:r>
    </w:p>
    <w:p w14:paraId="53DCFD84" w14:textId="77777777" w:rsidR="00233CFA" w:rsidRDefault="00233CFA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314C8BB9" w14:textId="77777777" w:rsidR="00980577" w:rsidRPr="00233CFA" w:rsidRDefault="00980577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57434CC1" w14:textId="0B989FFE" w:rsidR="004556C7" w:rsidRDefault="007D125B" w:rsidP="004556C7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c</w:t>
      </w:r>
      <w:r w:rsidR="00E06FCE" w:rsidRPr="00233CFA">
        <w:rPr>
          <w:rFonts w:ascii="Arial" w:hAnsi="Arial" w:cs="Arial"/>
          <w:sz w:val="20"/>
          <w:szCs w:val="21"/>
        </w:rPr>
        <w:t xml:space="preserve">.c. </w:t>
      </w:r>
      <w:r w:rsidR="00E06FCE" w:rsidRPr="00233CFA">
        <w:rPr>
          <w:rFonts w:ascii="Arial" w:hAnsi="Arial" w:cs="Arial"/>
          <w:sz w:val="20"/>
          <w:szCs w:val="21"/>
        </w:rPr>
        <w:tab/>
      </w:r>
      <w:r w:rsidR="004556C7">
        <w:rPr>
          <w:rFonts w:ascii="Arial" w:hAnsi="Arial" w:cs="Arial"/>
          <w:sz w:val="20"/>
          <w:szCs w:val="21"/>
        </w:rPr>
        <w:t>Dele Fajimolu (LMA)</w:t>
      </w:r>
    </w:p>
    <w:p w14:paraId="0FF453CF" w14:textId="77777777" w:rsidR="00B73B8E" w:rsidRDefault="00B73B8E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  <w:t>Neil Roberts (</w:t>
      </w:r>
      <w:r w:rsidRPr="00233CFA">
        <w:rPr>
          <w:rFonts w:ascii="Arial" w:hAnsi="Arial" w:cs="Arial"/>
          <w:sz w:val="20"/>
          <w:szCs w:val="21"/>
        </w:rPr>
        <w:t>LMA</w:t>
      </w:r>
      <w:r>
        <w:rPr>
          <w:rFonts w:ascii="Arial" w:hAnsi="Arial" w:cs="Arial"/>
          <w:sz w:val="20"/>
          <w:szCs w:val="21"/>
        </w:rPr>
        <w:t>)</w:t>
      </w:r>
    </w:p>
    <w:p w14:paraId="46F396A0" w14:textId="77777777" w:rsidR="002A7220" w:rsidRDefault="00B73B8E" w:rsidP="002A7220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</w:r>
      <w:r w:rsidR="008D365D">
        <w:rPr>
          <w:rFonts w:ascii="Arial" w:hAnsi="Arial" w:cs="Arial"/>
          <w:sz w:val="20"/>
          <w:szCs w:val="21"/>
        </w:rPr>
        <w:t>Jackie Girow</w:t>
      </w:r>
      <w:r w:rsidR="00A96236">
        <w:rPr>
          <w:rFonts w:ascii="Arial" w:hAnsi="Arial" w:cs="Arial"/>
          <w:sz w:val="20"/>
          <w:szCs w:val="21"/>
        </w:rPr>
        <w:t xml:space="preserve"> (</w:t>
      </w:r>
      <w:r w:rsidR="00E06FCE" w:rsidRPr="00233CFA">
        <w:rPr>
          <w:rFonts w:ascii="Arial" w:hAnsi="Arial" w:cs="Arial"/>
          <w:sz w:val="20"/>
          <w:szCs w:val="21"/>
        </w:rPr>
        <w:t>LIIBA</w:t>
      </w:r>
      <w:r w:rsidR="00A96236">
        <w:rPr>
          <w:rFonts w:ascii="Arial" w:hAnsi="Arial" w:cs="Arial"/>
          <w:sz w:val="20"/>
          <w:szCs w:val="21"/>
        </w:rPr>
        <w:t>)</w:t>
      </w:r>
      <w:r>
        <w:rPr>
          <w:rFonts w:ascii="Arial" w:hAnsi="Arial" w:cs="Arial"/>
          <w:sz w:val="20"/>
          <w:szCs w:val="21"/>
        </w:rPr>
        <w:tab/>
      </w:r>
    </w:p>
    <w:p w14:paraId="60658975" w14:textId="77777777" w:rsidR="004556C7" w:rsidRDefault="004556C7" w:rsidP="002A7220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2EE2499C" w14:textId="5DB72805" w:rsidR="00E839C2" w:rsidRPr="005469CC" w:rsidRDefault="00E839C2" w:rsidP="00E839C2">
      <w:pPr>
        <w:pStyle w:val="MainHead"/>
        <w:keepNext w:val="0"/>
        <w:widowControl w:val="0"/>
        <w:spacing w:before="0"/>
        <w:rPr>
          <w:rFonts w:ascii="Arial" w:hAnsi="Arial" w:cs="Arial"/>
        </w:rPr>
      </w:pPr>
      <w:r w:rsidRPr="005469CC">
        <w:rPr>
          <w:rFonts w:ascii="Arial" w:hAnsi="Arial" w:cs="Arial"/>
        </w:rPr>
        <w:lastRenderedPageBreak/>
        <w:t>AVIATION SEASONAL CANCELLATION TABLE</w:t>
      </w:r>
    </w:p>
    <w:p w14:paraId="3A2EA164" w14:textId="6B6FA5A5" w:rsidR="00E839C2" w:rsidRPr="005469CC" w:rsidRDefault="00E839C2" w:rsidP="00E839C2">
      <w:pPr>
        <w:pStyle w:val="Flush1"/>
        <w:ind w:left="0"/>
        <w:rPr>
          <w:rFonts w:ascii="Arial" w:hAnsi="Arial" w:cs="Arial"/>
          <w:sz w:val="20"/>
          <w:szCs w:val="20"/>
        </w:rPr>
      </w:pPr>
      <w:r w:rsidRPr="00CD6839">
        <w:rPr>
          <w:rFonts w:ascii="Arial" w:hAnsi="Arial" w:cs="Arial"/>
          <w:sz w:val="20"/>
          <w:szCs w:val="20"/>
        </w:rPr>
        <w:t xml:space="preserve">In the event of cancellation of this </w:t>
      </w:r>
      <w:r>
        <w:rPr>
          <w:rFonts w:ascii="Arial" w:hAnsi="Arial" w:cs="Arial"/>
          <w:sz w:val="20"/>
          <w:szCs w:val="20"/>
        </w:rPr>
        <w:t>Policy</w:t>
      </w:r>
      <w:r w:rsidRPr="00CD6839">
        <w:rPr>
          <w:rFonts w:ascii="Arial" w:hAnsi="Arial" w:cs="Arial"/>
          <w:sz w:val="20"/>
          <w:szCs w:val="20"/>
        </w:rPr>
        <w:t xml:space="preserve"> by the Insured</w:t>
      </w:r>
      <w:r w:rsidRPr="00D866D8">
        <w:rPr>
          <w:rFonts w:ascii="Arial" w:hAnsi="Arial" w:cs="Arial"/>
          <w:sz w:val="20"/>
          <w:szCs w:val="20"/>
        </w:rPr>
        <w:t xml:space="preserve"> </w:t>
      </w:r>
      <w:r w:rsidRPr="00A51F43">
        <w:rPr>
          <w:rFonts w:ascii="Arial" w:hAnsi="Arial" w:cs="Arial"/>
          <w:sz w:val="20"/>
          <w:szCs w:val="20"/>
        </w:rPr>
        <w:t>or in the event of substitution, addition and/or deletion of aircraft</w:t>
      </w:r>
      <w:r>
        <w:rPr>
          <w:rFonts w:ascii="Arial" w:hAnsi="Arial" w:cs="Arial"/>
          <w:sz w:val="20"/>
          <w:szCs w:val="20"/>
        </w:rPr>
        <w:t>, the Insurer</w:t>
      </w:r>
      <w:r w:rsidR="000E335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0E335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shall be entitled to the Minimum Premium in respect of each aircraft calculated in accordance with the following scale,</w:t>
      </w:r>
      <w:r w:rsidRPr="00291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unless specifically otherwise agreed by the Insurer(s):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1"/>
      </w:tblGrid>
      <w:tr w:rsidR="00E839C2" w:rsidRPr="005469CC" w14:paraId="4DD85FA5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9F24A41" w14:textId="77777777" w:rsidR="00E839C2" w:rsidRPr="005469CC" w:rsidRDefault="00E839C2" w:rsidP="002A77C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F1759AF" w14:textId="77777777" w:rsidR="00E839C2" w:rsidRPr="005469CC" w:rsidRDefault="00E839C2" w:rsidP="002A77CD">
            <w:pPr>
              <w:keepNext/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9CC">
              <w:rPr>
                <w:rFonts w:ascii="Arial" w:hAnsi="Arial" w:cs="Arial"/>
                <w:b/>
                <w:bCs/>
                <w:sz w:val="20"/>
                <w:szCs w:val="20"/>
              </w:rPr>
              <w:t>MINIMUM PREMIUM</w:t>
            </w:r>
          </w:p>
        </w:tc>
      </w:tr>
      <w:tr w:rsidR="00E839C2" w:rsidRPr="005469CC" w14:paraId="72776DF2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0DA2B51" w14:textId="77777777" w:rsidR="00E839C2" w:rsidRPr="005469CC" w:rsidRDefault="00E839C2" w:rsidP="002A77CD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Policy in force less than 31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CBC64E4" w14:textId="77777777" w:rsidR="00E839C2" w:rsidRPr="005469CC" w:rsidRDefault="00E839C2" w:rsidP="002A77CD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33 1/3% of annual premium</w:t>
            </w:r>
          </w:p>
        </w:tc>
      </w:tr>
      <w:tr w:rsidR="00E839C2" w:rsidRPr="005469CC" w14:paraId="7979B1AA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AC1D087" w14:textId="77777777" w:rsidR="00E839C2" w:rsidRPr="005469CC" w:rsidRDefault="00E839C2" w:rsidP="002A77CD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31 days or more and less than 61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869AF60" w14:textId="77777777" w:rsidR="00E839C2" w:rsidRPr="005469CC" w:rsidRDefault="00E839C2" w:rsidP="002A77CD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60% of annual premium</w:t>
            </w:r>
          </w:p>
        </w:tc>
      </w:tr>
      <w:tr w:rsidR="00E839C2" w:rsidRPr="005469CC" w14:paraId="7D2380BB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CA1C503" w14:textId="77777777" w:rsidR="00E839C2" w:rsidRPr="005469CC" w:rsidRDefault="00E839C2" w:rsidP="002A77CD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61 days or more and less than 91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50FE079" w14:textId="77777777" w:rsidR="00E839C2" w:rsidRPr="005469CC" w:rsidRDefault="00E839C2" w:rsidP="002A77CD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75% of annual premium</w:t>
            </w:r>
          </w:p>
        </w:tc>
      </w:tr>
      <w:tr w:rsidR="00E839C2" w:rsidRPr="005469CC" w14:paraId="7AB2BA6A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560E9306" w14:textId="77777777" w:rsidR="00E839C2" w:rsidRPr="005469CC" w:rsidRDefault="00E839C2" w:rsidP="002A77CD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91 days or more and less than 120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082B2839" w14:textId="77777777" w:rsidR="00E839C2" w:rsidRPr="005469CC" w:rsidRDefault="00E839C2" w:rsidP="002A77CD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85% of annual premium</w:t>
            </w:r>
          </w:p>
        </w:tc>
      </w:tr>
      <w:tr w:rsidR="00E839C2" w:rsidRPr="005469CC" w14:paraId="5D075907" w14:textId="77777777" w:rsidTr="002A77C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5A67F0D" w14:textId="77777777" w:rsidR="00E839C2" w:rsidRPr="005469CC" w:rsidRDefault="00E839C2" w:rsidP="002A77CD">
            <w:pPr>
              <w:pStyle w:val="Flush1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120 days or more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F64EA04" w14:textId="77777777" w:rsidR="00E839C2" w:rsidRDefault="00E839C2" w:rsidP="002A77C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100% of annual premium</w:t>
            </w:r>
          </w:p>
          <w:p w14:paraId="6D72828D" w14:textId="77777777" w:rsidR="00E839C2" w:rsidRPr="005469CC" w:rsidRDefault="00E839C2" w:rsidP="002A77C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3A7B" w14:textId="77777777" w:rsidR="00E839C2" w:rsidRDefault="00E839C2" w:rsidP="00E839C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469CC">
        <w:rPr>
          <w:rFonts w:ascii="Arial" w:hAnsi="Arial" w:cs="Arial"/>
          <w:sz w:val="20"/>
          <w:szCs w:val="20"/>
        </w:rPr>
        <w:t>No return of premium will be made in respect of any aircraft which has been the subject of a claim.</w:t>
      </w:r>
    </w:p>
    <w:p w14:paraId="5DA371D3" w14:textId="77777777" w:rsidR="00E839C2" w:rsidRDefault="00E839C2" w:rsidP="00E839C2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62529047" w14:textId="77777777" w:rsidR="00E839C2" w:rsidRDefault="00E839C2" w:rsidP="00E839C2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1475F1D3" w14:textId="77777777" w:rsidR="00E839C2" w:rsidRDefault="00E839C2" w:rsidP="00E839C2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07628C">
        <w:rPr>
          <w:rFonts w:ascii="Arial" w:hAnsi="Arial" w:cs="Arial"/>
          <w:b/>
          <w:sz w:val="20"/>
          <w:szCs w:val="20"/>
        </w:rPr>
        <w:t>AVN</w:t>
      </w:r>
      <w:r>
        <w:rPr>
          <w:rFonts w:ascii="Arial" w:hAnsi="Arial" w:cs="Arial"/>
          <w:b/>
          <w:sz w:val="20"/>
          <w:szCs w:val="20"/>
        </w:rPr>
        <w:t xml:space="preserve"> XXX   DDMMYYYY</w:t>
      </w:r>
    </w:p>
    <w:p w14:paraId="0BCAF310" w14:textId="77777777" w:rsidR="00E839C2" w:rsidRDefault="00E839C2" w:rsidP="00E839C2">
      <w:pPr>
        <w:tabs>
          <w:tab w:val="left" w:pos="0"/>
        </w:tabs>
        <w:jc w:val="both"/>
        <w:rPr>
          <w:rFonts w:ascii="Arial" w:hAnsi="Arial" w:cs="Arial"/>
          <w:i/>
          <w:iCs/>
          <w:sz w:val="18"/>
          <w:szCs w:val="21"/>
        </w:rPr>
      </w:pPr>
    </w:p>
    <w:p w14:paraId="03DB6443" w14:textId="77777777" w:rsidR="00E839C2" w:rsidRDefault="00E839C2" w:rsidP="00E839C2">
      <w:r w:rsidRPr="002968B1">
        <w:rPr>
          <w:rFonts w:ascii="Arial" w:hAnsi="Arial" w:cs="Arial"/>
          <w:i/>
          <w:iCs/>
          <w:color w:val="000000"/>
          <w:sz w:val="18"/>
          <w:szCs w:val="21"/>
        </w:rPr>
        <w:t xml:space="preserve">In common with all AICG produced AVN policy </w:t>
      </w:r>
      <w:r>
        <w:rPr>
          <w:rFonts w:ascii="Arial" w:hAnsi="Arial" w:cs="Arial"/>
          <w:i/>
          <w:iCs/>
          <w:color w:val="000000"/>
          <w:sz w:val="18"/>
          <w:szCs w:val="21"/>
        </w:rPr>
        <w:t xml:space="preserve">clauses / </w:t>
      </w:r>
      <w:r w:rsidRPr="002968B1">
        <w:rPr>
          <w:rFonts w:ascii="Arial" w:hAnsi="Arial" w:cs="Arial"/>
          <w:i/>
          <w:iCs/>
          <w:color w:val="000000"/>
          <w:sz w:val="18"/>
          <w:szCs w:val="21"/>
        </w:rPr>
        <w:t xml:space="preserve">wordings, this policy </w:t>
      </w:r>
      <w:r>
        <w:rPr>
          <w:rFonts w:ascii="Arial" w:hAnsi="Arial" w:cs="Arial"/>
          <w:i/>
          <w:iCs/>
          <w:color w:val="000000"/>
          <w:sz w:val="18"/>
          <w:szCs w:val="21"/>
        </w:rPr>
        <w:t xml:space="preserve">clause / </w:t>
      </w:r>
      <w:r w:rsidRPr="002968B1">
        <w:rPr>
          <w:rFonts w:ascii="Arial" w:hAnsi="Arial" w:cs="Arial"/>
          <w:i/>
          <w:iCs/>
          <w:color w:val="000000"/>
          <w:sz w:val="18"/>
          <w:szCs w:val="21"/>
        </w:rPr>
        <w:t xml:space="preserve">wording is published by AICG, but it is expressly non-binding and AICG makes no recommendation as to its use. Insurers are free to offer different policy </w:t>
      </w:r>
      <w:r>
        <w:rPr>
          <w:rFonts w:ascii="Arial" w:hAnsi="Arial" w:cs="Arial"/>
          <w:i/>
          <w:iCs/>
          <w:color w:val="000000"/>
          <w:sz w:val="18"/>
          <w:szCs w:val="21"/>
        </w:rPr>
        <w:t>clauses / w</w:t>
      </w:r>
      <w:r w:rsidRPr="002968B1">
        <w:rPr>
          <w:rFonts w:ascii="Arial" w:hAnsi="Arial" w:cs="Arial"/>
          <w:i/>
          <w:iCs/>
          <w:color w:val="000000"/>
          <w:sz w:val="18"/>
          <w:szCs w:val="21"/>
        </w:rPr>
        <w:t>ordings to their policy holders</w:t>
      </w:r>
    </w:p>
    <w:p w14:paraId="25EEC27B" w14:textId="77777777" w:rsidR="001853B1" w:rsidRDefault="001853B1" w:rsidP="00E839C2">
      <w:pPr>
        <w:jc w:val="center"/>
        <w:rPr>
          <w:rFonts w:ascii="Arial" w:hAnsi="Arial" w:cs="Arial"/>
          <w:b/>
          <w:lang w:eastAsia="en-US"/>
        </w:rPr>
      </w:pPr>
    </w:p>
    <w:sectPr w:rsidR="001853B1" w:rsidSect="00CF46FD">
      <w:headerReference w:type="default" r:id="rId15"/>
      <w:footerReference w:type="even" r:id="rId16"/>
      <w:pgSz w:w="11907" w:h="16840" w:code="9"/>
      <w:pgMar w:top="1134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A329" w14:textId="77777777" w:rsidR="00BD6D66" w:rsidRDefault="00BD6D66">
      <w:r>
        <w:separator/>
      </w:r>
    </w:p>
  </w:endnote>
  <w:endnote w:type="continuationSeparator" w:id="0">
    <w:p w14:paraId="57318255" w14:textId="77777777" w:rsidR="00BD6D66" w:rsidRDefault="00BD6D66">
      <w:r>
        <w:continuationSeparator/>
      </w:r>
    </w:p>
  </w:endnote>
  <w:endnote w:type="continuationNotice" w:id="1">
    <w:p w14:paraId="3F4F0300" w14:textId="77777777" w:rsidR="00BD6D66" w:rsidRDefault="00BD6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1DCC" w14:textId="77777777" w:rsidR="00BD6D66" w:rsidRDefault="00BD6D66">
      <w:r>
        <w:separator/>
      </w:r>
    </w:p>
  </w:footnote>
  <w:footnote w:type="continuationSeparator" w:id="0">
    <w:p w14:paraId="181A084D" w14:textId="77777777" w:rsidR="00BD6D66" w:rsidRDefault="00BD6D66">
      <w:r>
        <w:continuationSeparator/>
      </w:r>
    </w:p>
  </w:footnote>
  <w:footnote w:type="continuationNotice" w:id="1">
    <w:p w14:paraId="2B381D16" w14:textId="77777777" w:rsidR="00BD6D66" w:rsidRDefault="00BD6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D0AF" w14:textId="1B89BA06" w:rsidR="00421F43" w:rsidRDefault="00421F43" w:rsidP="00421F43">
    <w:pPr>
      <w:pStyle w:val="Header"/>
      <w:jc w:val="right"/>
    </w:pPr>
    <w:r w:rsidRPr="0098305B">
      <w:rPr>
        <w:rFonts w:ascii="Arial" w:hAnsi="Arial" w:cs="Arial"/>
        <w:b/>
        <w:bCs/>
        <w:sz w:val="20"/>
        <w:szCs w:val="21"/>
      </w:rPr>
      <w:t>CD</w:t>
    </w:r>
    <w:r w:rsidR="006C2233">
      <w:rPr>
        <w:rFonts w:ascii="Arial" w:hAnsi="Arial" w:cs="Arial"/>
        <w:b/>
        <w:bCs/>
        <w:sz w:val="20"/>
        <w:szCs w:val="21"/>
      </w:rPr>
      <w:t>69</w:t>
    </w:r>
    <w:r w:rsidRPr="0098305B">
      <w:rPr>
        <w:rFonts w:ascii="Arial" w:hAnsi="Arial" w:cs="Arial"/>
        <w:b/>
        <w:bCs/>
        <w:sz w:val="20"/>
        <w:szCs w:val="21"/>
      </w:rPr>
      <w:t xml:space="preserve"> Consultation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6E1CA6E4"/>
    <w:lvl w:ilvl="0" w:tplc="7896B6FE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7E8E"/>
    <w:multiLevelType w:val="hybridMultilevel"/>
    <w:tmpl w:val="132E3CBA"/>
    <w:lvl w:ilvl="0" w:tplc="FFFFFFFF">
      <w:start w:val="1"/>
      <w:numFmt w:val="lowerRoman"/>
      <w:lvlText w:val="%1."/>
      <w:lvlJc w:val="right"/>
      <w:pPr>
        <w:ind w:left="1857" w:hanging="360"/>
      </w:pPr>
    </w:lvl>
    <w:lvl w:ilvl="1" w:tplc="FFFFFFFF" w:tentative="1">
      <w:start w:val="1"/>
      <w:numFmt w:val="lowerLetter"/>
      <w:lvlText w:val="%2."/>
      <w:lvlJc w:val="left"/>
      <w:pPr>
        <w:ind w:left="2577" w:hanging="360"/>
      </w:pPr>
    </w:lvl>
    <w:lvl w:ilvl="2" w:tplc="FFFFFFFF" w:tentative="1">
      <w:start w:val="1"/>
      <w:numFmt w:val="lowerRoman"/>
      <w:lvlText w:val="%3."/>
      <w:lvlJc w:val="right"/>
      <w:pPr>
        <w:ind w:left="3297" w:hanging="180"/>
      </w:pPr>
    </w:lvl>
    <w:lvl w:ilvl="3" w:tplc="FFFFFFFF" w:tentative="1">
      <w:start w:val="1"/>
      <w:numFmt w:val="decimal"/>
      <w:lvlText w:val="%4."/>
      <w:lvlJc w:val="left"/>
      <w:pPr>
        <w:ind w:left="4017" w:hanging="360"/>
      </w:pPr>
    </w:lvl>
    <w:lvl w:ilvl="4" w:tplc="FFFFFFFF" w:tentative="1">
      <w:start w:val="1"/>
      <w:numFmt w:val="lowerLetter"/>
      <w:lvlText w:val="%5."/>
      <w:lvlJc w:val="left"/>
      <w:pPr>
        <w:ind w:left="4737" w:hanging="360"/>
      </w:pPr>
    </w:lvl>
    <w:lvl w:ilvl="5" w:tplc="FFFFFFFF" w:tentative="1">
      <w:start w:val="1"/>
      <w:numFmt w:val="lowerRoman"/>
      <w:lvlText w:val="%6."/>
      <w:lvlJc w:val="right"/>
      <w:pPr>
        <w:ind w:left="5457" w:hanging="180"/>
      </w:pPr>
    </w:lvl>
    <w:lvl w:ilvl="6" w:tplc="FFFFFFFF" w:tentative="1">
      <w:start w:val="1"/>
      <w:numFmt w:val="decimal"/>
      <w:lvlText w:val="%7."/>
      <w:lvlJc w:val="left"/>
      <w:pPr>
        <w:ind w:left="6177" w:hanging="360"/>
      </w:pPr>
    </w:lvl>
    <w:lvl w:ilvl="7" w:tplc="FFFFFFFF" w:tentative="1">
      <w:start w:val="1"/>
      <w:numFmt w:val="lowerLetter"/>
      <w:lvlText w:val="%8."/>
      <w:lvlJc w:val="left"/>
      <w:pPr>
        <w:ind w:left="6897" w:hanging="360"/>
      </w:pPr>
    </w:lvl>
    <w:lvl w:ilvl="8" w:tplc="FFFFFFFF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6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829"/>
    <w:multiLevelType w:val="hybridMultilevel"/>
    <w:tmpl w:val="1332A9B0"/>
    <w:lvl w:ilvl="0" w:tplc="FFFFFFFF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 w15:restartNumberingAfterBreak="0">
    <w:nsid w:val="21E93318"/>
    <w:multiLevelType w:val="hybridMultilevel"/>
    <w:tmpl w:val="B7DAC8C6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4F73"/>
    <w:multiLevelType w:val="hybridMultilevel"/>
    <w:tmpl w:val="319CAC56"/>
    <w:lvl w:ilvl="0" w:tplc="6074DADC">
      <w:start w:val="1"/>
      <w:numFmt w:val="lowerLetter"/>
      <w:lvlText w:val="(%1)"/>
      <w:lvlJc w:val="left"/>
      <w:pPr>
        <w:ind w:left="18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7" w:hanging="360"/>
      </w:pPr>
    </w:lvl>
    <w:lvl w:ilvl="2" w:tplc="FFFFFFFF" w:tentative="1">
      <w:start w:val="1"/>
      <w:numFmt w:val="lowerRoman"/>
      <w:lvlText w:val="%3."/>
      <w:lvlJc w:val="right"/>
      <w:pPr>
        <w:ind w:left="3297" w:hanging="180"/>
      </w:pPr>
    </w:lvl>
    <w:lvl w:ilvl="3" w:tplc="FFFFFFFF" w:tentative="1">
      <w:start w:val="1"/>
      <w:numFmt w:val="decimal"/>
      <w:lvlText w:val="%4."/>
      <w:lvlJc w:val="left"/>
      <w:pPr>
        <w:ind w:left="4017" w:hanging="360"/>
      </w:pPr>
    </w:lvl>
    <w:lvl w:ilvl="4" w:tplc="FFFFFFFF" w:tentative="1">
      <w:start w:val="1"/>
      <w:numFmt w:val="lowerLetter"/>
      <w:lvlText w:val="%5."/>
      <w:lvlJc w:val="left"/>
      <w:pPr>
        <w:ind w:left="4737" w:hanging="360"/>
      </w:pPr>
    </w:lvl>
    <w:lvl w:ilvl="5" w:tplc="FFFFFFFF" w:tentative="1">
      <w:start w:val="1"/>
      <w:numFmt w:val="lowerRoman"/>
      <w:lvlText w:val="%6."/>
      <w:lvlJc w:val="right"/>
      <w:pPr>
        <w:ind w:left="5457" w:hanging="180"/>
      </w:pPr>
    </w:lvl>
    <w:lvl w:ilvl="6" w:tplc="FFFFFFFF" w:tentative="1">
      <w:start w:val="1"/>
      <w:numFmt w:val="decimal"/>
      <w:lvlText w:val="%7."/>
      <w:lvlJc w:val="left"/>
      <w:pPr>
        <w:ind w:left="6177" w:hanging="360"/>
      </w:pPr>
    </w:lvl>
    <w:lvl w:ilvl="7" w:tplc="FFFFFFFF" w:tentative="1">
      <w:start w:val="1"/>
      <w:numFmt w:val="lowerLetter"/>
      <w:lvlText w:val="%8."/>
      <w:lvlJc w:val="left"/>
      <w:pPr>
        <w:ind w:left="6897" w:hanging="360"/>
      </w:pPr>
    </w:lvl>
    <w:lvl w:ilvl="8" w:tplc="FFFFFFFF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3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7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32BC9"/>
    <w:multiLevelType w:val="hybridMultilevel"/>
    <w:tmpl w:val="1332A9B0"/>
    <w:lvl w:ilvl="0" w:tplc="FFFFFFFF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2" w15:restartNumberingAfterBreak="0">
    <w:nsid w:val="4D447C69"/>
    <w:multiLevelType w:val="hybridMultilevel"/>
    <w:tmpl w:val="25F0C4B0"/>
    <w:lvl w:ilvl="0" w:tplc="EA9AA9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0FB7F09"/>
    <w:multiLevelType w:val="hybridMultilevel"/>
    <w:tmpl w:val="1332A9B0"/>
    <w:lvl w:ilvl="0" w:tplc="FFFFFFFF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345DF9"/>
    <w:multiLevelType w:val="hybridMultilevel"/>
    <w:tmpl w:val="1332A9B0"/>
    <w:lvl w:ilvl="0" w:tplc="FFFFFFFF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144"/>
    <w:multiLevelType w:val="hybridMultilevel"/>
    <w:tmpl w:val="DD7EC4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0209C"/>
    <w:multiLevelType w:val="hybridMultilevel"/>
    <w:tmpl w:val="B7DAC8C6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9F73DA"/>
    <w:multiLevelType w:val="hybridMultilevel"/>
    <w:tmpl w:val="1332A9B0"/>
    <w:lvl w:ilvl="0" w:tplc="B7A2482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260E98"/>
    <w:multiLevelType w:val="hybridMultilevel"/>
    <w:tmpl w:val="132E3CBA"/>
    <w:lvl w:ilvl="0" w:tplc="0809001B">
      <w:start w:val="1"/>
      <w:numFmt w:val="lowerRoman"/>
      <w:lvlText w:val="%1."/>
      <w:lvlJc w:val="right"/>
      <w:pPr>
        <w:ind w:left="1857" w:hanging="360"/>
      </w:pPr>
    </w:lvl>
    <w:lvl w:ilvl="1" w:tplc="08090019" w:tentative="1">
      <w:start w:val="1"/>
      <w:numFmt w:val="lowerLetter"/>
      <w:lvlText w:val="%2."/>
      <w:lvlJc w:val="left"/>
      <w:pPr>
        <w:ind w:left="2577" w:hanging="360"/>
      </w:pPr>
    </w:lvl>
    <w:lvl w:ilvl="2" w:tplc="0809001B" w:tentative="1">
      <w:start w:val="1"/>
      <w:numFmt w:val="lowerRoman"/>
      <w:lvlText w:val="%3."/>
      <w:lvlJc w:val="right"/>
      <w:pPr>
        <w:ind w:left="3297" w:hanging="180"/>
      </w:pPr>
    </w:lvl>
    <w:lvl w:ilvl="3" w:tplc="0809000F" w:tentative="1">
      <w:start w:val="1"/>
      <w:numFmt w:val="decimal"/>
      <w:lvlText w:val="%4."/>
      <w:lvlJc w:val="left"/>
      <w:pPr>
        <w:ind w:left="4017" w:hanging="360"/>
      </w:pPr>
    </w:lvl>
    <w:lvl w:ilvl="4" w:tplc="08090019" w:tentative="1">
      <w:start w:val="1"/>
      <w:numFmt w:val="lowerLetter"/>
      <w:lvlText w:val="%5."/>
      <w:lvlJc w:val="left"/>
      <w:pPr>
        <w:ind w:left="4737" w:hanging="360"/>
      </w:pPr>
    </w:lvl>
    <w:lvl w:ilvl="5" w:tplc="0809001B" w:tentative="1">
      <w:start w:val="1"/>
      <w:numFmt w:val="lowerRoman"/>
      <w:lvlText w:val="%6."/>
      <w:lvlJc w:val="right"/>
      <w:pPr>
        <w:ind w:left="5457" w:hanging="180"/>
      </w:pPr>
    </w:lvl>
    <w:lvl w:ilvl="6" w:tplc="0809000F" w:tentative="1">
      <w:start w:val="1"/>
      <w:numFmt w:val="decimal"/>
      <w:lvlText w:val="%7."/>
      <w:lvlJc w:val="left"/>
      <w:pPr>
        <w:ind w:left="6177" w:hanging="360"/>
      </w:pPr>
    </w:lvl>
    <w:lvl w:ilvl="7" w:tplc="08090019" w:tentative="1">
      <w:start w:val="1"/>
      <w:numFmt w:val="lowerLetter"/>
      <w:lvlText w:val="%8."/>
      <w:lvlJc w:val="left"/>
      <w:pPr>
        <w:ind w:left="6897" w:hanging="360"/>
      </w:pPr>
    </w:lvl>
    <w:lvl w:ilvl="8" w:tplc="080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3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7"/>
  </w:num>
  <w:num w:numId="2" w16cid:durableId="368532927">
    <w:abstractNumId w:val="4"/>
  </w:num>
  <w:num w:numId="3" w16cid:durableId="69084619">
    <w:abstractNumId w:val="29"/>
  </w:num>
  <w:num w:numId="4" w16cid:durableId="987782539">
    <w:abstractNumId w:val="33"/>
  </w:num>
  <w:num w:numId="5" w16cid:durableId="1725324750">
    <w:abstractNumId w:val="0"/>
  </w:num>
  <w:num w:numId="6" w16cid:durableId="12153047">
    <w:abstractNumId w:val="25"/>
  </w:num>
  <w:num w:numId="7" w16cid:durableId="1702625603">
    <w:abstractNumId w:val="10"/>
  </w:num>
  <w:num w:numId="8" w16cid:durableId="802768714">
    <w:abstractNumId w:val="1"/>
  </w:num>
  <w:num w:numId="9" w16cid:durableId="71005756">
    <w:abstractNumId w:val="28"/>
  </w:num>
  <w:num w:numId="10" w16cid:durableId="1599944089">
    <w:abstractNumId w:val="16"/>
  </w:num>
  <w:num w:numId="11" w16cid:durableId="195121363">
    <w:abstractNumId w:val="18"/>
  </w:num>
  <w:num w:numId="12" w16cid:durableId="2063601933">
    <w:abstractNumId w:val="20"/>
  </w:num>
  <w:num w:numId="13" w16cid:durableId="1294481852">
    <w:abstractNumId w:val="15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3"/>
  </w:num>
  <w:num w:numId="18" w16cid:durableId="947010926">
    <w:abstractNumId w:val="21"/>
  </w:num>
  <w:num w:numId="19" w16cid:durableId="559949662">
    <w:abstractNumId w:val="11"/>
  </w:num>
  <w:num w:numId="20" w16cid:durableId="1737970557">
    <w:abstractNumId w:val="14"/>
  </w:num>
  <w:num w:numId="21" w16cid:durableId="530194102">
    <w:abstractNumId w:val="17"/>
  </w:num>
  <w:num w:numId="22" w16cid:durableId="958147158">
    <w:abstractNumId w:val="23"/>
  </w:num>
  <w:num w:numId="23" w16cid:durableId="1547445565">
    <w:abstractNumId w:val="8"/>
  </w:num>
  <w:num w:numId="24" w16cid:durableId="737020626">
    <w:abstractNumId w:val="31"/>
  </w:num>
  <w:num w:numId="25" w16cid:durableId="1065034537">
    <w:abstractNumId w:val="7"/>
  </w:num>
  <w:num w:numId="26" w16cid:durableId="1512910870">
    <w:abstractNumId w:val="24"/>
  </w:num>
  <w:num w:numId="27" w16cid:durableId="2053269004">
    <w:abstractNumId w:val="19"/>
  </w:num>
  <w:num w:numId="28" w16cid:durableId="1679113957">
    <w:abstractNumId w:val="9"/>
  </w:num>
  <w:num w:numId="29" w16cid:durableId="1863743521">
    <w:abstractNumId w:val="26"/>
  </w:num>
  <w:num w:numId="30" w16cid:durableId="1121996931">
    <w:abstractNumId w:val="32"/>
  </w:num>
  <w:num w:numId="31" w16cid:durableId="897210103">
    <w:abstractNumId w:val="12"/>
  </w:num>
  <w:num w:numId="32" w16cid:durableId="1111125194">
    <w:abstractNumId w:val="30"/>
  </w:num>
  <w:num w:numId="33" w16cid:durableId="1063913524">
    <w:abstractNumId w:val="22"/>
  </w:num>
  <w:num w:numId="34" w16cid:durableId="1498618947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16125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57D"/>
    <w:rsid w:val="00095B6F"/>
    <w:rsid w:val="000A0B93"/>
    <w:rsid w:val="000A21D6"/>
    <w:rsid w:val="000A53E0"/>
    <w:rsid w:val="000A555B"/>
    <w:rsid w:val="000A5606"/>
    <w:rsid w:val="000B13BA"/>
    <w:rsid w:val="000C0567"/>
    <w:rsid w:val="000C30AF"/>
    <w:rsid w:val="000D599F"/>
    <w:rsid w:val="000E335B"/>
    <w:rsid w:val="000E4FE5"/>
    <w:rsid w:val="000F0F4A"/>
    <w:rsid w:val="000F1E90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358D2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1D8"/>
    <w:rsid w:val="002A14E4"/>
    <w:rsid w:val="002A4460"/>
    <w:rsid w:val="002A69DC"/>
    <w:rsid w:val="002A7220"/>
    <w:rsid w:val="002B633F"/>
    <w:rsid w:val="002C1989"/>
    <w:rsid w:val="002C4C39"/>
    <w:rsid w:val="002C5E8C"/>
    <w:rsid w:val="002D0528"/>
    <w:rsid w:val="002E1B4D"/>
    <w:rsid w:val="002E2EDF"/>
    <w:rsid w:val="002E33B0"/>
    <w:rsid w:val="00301EC0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19DA"/>
    <w:rsid w:val="0039474E"/>
    <w:rsid w:val="003A2392"/>
    <w:rsid w:val="003A3B3C"/>
    <w:rsid w:val="003A6C23"/>
    <w:rsid w:val="003B0267"/>
    <w:rsid w:val="003B0A57"/>
    <w:rsid w:val="003B0CBF"/>
    <w:rsid w:val="003B6224"/>
    <w:rsid w:val="003C1627"/>
    <w:rsid w:val="003C5308"/>
    <w:rsid w:val="003D262A"/>
    <w:rsid w:val="003D263C"/>
    <w:rsid w:val="003D6206"/>
    <w:rsid w:val="003E3788"/>
    <w:rsid w:val="003F0D24"/>
    <w:rsid w:val="003F3113"/>
    <w:rsid w:val="00400509"/>
    <w:rsid w:val="004041A2"/>
    <w:rsid w:val="00406D7E"/>
    <w:rsid w:val="00412302"/>
    <w:rsid w:val="00414C1A"/>
    <w:rsid w:val="0041634C"/>
    <w:rsid w:val="00421F43"/>
    <w:rsid w:val="00424907"/>
    <w:rsid w:val="00425E64"/>
    <w:rsid w:val="004301C6"/>
    <w:rsid w:val="00431464"/>
    <w:rsid w:val="00431D1A"/>
    <w:rsid w:val="00432ED7"/>
    <w:rsid w:val="00433F72"/>
    <w:rsid w:val="00443D7A"/>
    <w:rsid w:val="004448CC"/>
    <w:rsid w:val="00445AE4"/>
    <w:rsid w:val="00447BF1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1B73"/>
    <w:rsid w:val="0048206F"/>
    <w:rsid w:val="004910E5"/>
    <w:rsid w:val="00494D64"/>
    <w:rsid w:val="00495813"/>
    <w:rsid w:val="004A70C2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2DF1"/>
    <w:rsid w:val="005102FB"/>
    <w:rsid w:val="005145BC"/>
    <w:rsid w:val="00516ADC"/>
    <w:rsid w:val="005258A2"/>
    <w:rsid w:val="00532A6C"/>
    <w:rsid w:val="00537530"/>
    <w:rsid w:val="005412F2"/>
    <w:rsid w:val="00543F77"/>
    <w:rsid w:val="00546FA3"/>
    <w:rsid w:val="00550CA5"/>
    <w:rsid w:val="005540D4"/>
    <w:rsid w:val="00560C36"/>
    <w:rsid w:val="005613B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D19AC"/>
    <w:rsid w:val="005D51F6"/>
    <w:rsid w:val="005E34C5"/>
    <w:rsid w:val="005E440D"/>
    <w:rsid w:val="005E547B"/>
    <w:rsid w:val="005F0930"/>
    <w:rsid w:val="005F1408"/>
    <w:rsid w:val="005F28CC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50E33"/>
    <w:rsid w:val="00656E91"/>
    <w:rsid w:val="0066130D"/>
    <w:rsid w:val="0066389E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2233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1CA"/>
    <w:rsid w:val="00713C2E"/>
    <w:rsid w:val="0072013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0D59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741A"/>
    <w:rsid w:val="00805196"/>
    <w:rsid w:val="008168EB"/>
    <w:rsid w:val="00825D1C"/>
    <w:rsid w:val="00830790"/>
    <w:rsid w:val="008364A2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1A93"/>
    <w:rsid w:val="008B3A7C"/>
    <w:rsid w:val="008B6CEF"/>
    <w:rsid w:val="008C4E04"/>
    <w:rsid w:val="008C596A"/>
    <w:rsid w:val="008C5C28"/>
    <w:rsid w:val="008D1B27"/>
    <w:rsid w:val="008D365D"/>
    <w:rsid w:val="008D4B2B"/>
    <w:rsid w:val="008D4BF9"/>
    <w:rsid w:val="008D611A"/>
    <w:rsid w:val="008E2994"/>
    <w:rsid w:val="008E5F6A"/>
    <w:rsid w:val="008F20E9"/>
    <w:rsid w:val="008F4F84"/>
    <w:rsid w:val="009036D6"/>
    <w:rsid w:val="0091092E"/>
    <w:rsid w:val="00910FAE"/>
    <w:rsid w:val="009144AD"/>
    <w:rsid w:val="009167EA"/>
    <w:rsid w:val="00924108"/>
    <w:rsid w:val="00924181"/>
    <w:rsid w:val="009262DD"/>
    <w:rsid w:val="00930377"/>
    <w:rsid w:val="00935421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4D58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A62FD"/>
    <w:rsid w:val="00BB1307"/>
    <w:rsid w:val="00BB4843"/>
    <w:rsid w:val="00BC262E"/>
    <w:rsid w:val="00BC2F9E"/>
    <w:rsid w:val="00BC79C3"/>
    <w:rsid w:val="00BD3385"/>
    <w:rsid w:val="00BD6D66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6A64"/>
    <w:rsid w:val="00C37BE6"/>
    <w:rsid w:val="00C40C0D"/>
    <w:rsid w:val="00C429CC"/>
    <w:rsid w:val="00C464C0"/>
    <w:rsid w:val="00C47C56"/>
    <w:rsid w:val="00C51FA8"/>
    <w:rsid w:val="00C53412"/>
    <w:rsid w:val="00C536D0"/>
    <w:rsid w:val="00C53FD1"/>
    <w:rsid w:val="00C63BC1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23C3E"/>
    <w:rsid w:val="00D26F94"/>
    <w:rsid w:val="00D37188"/>
    <w:rsid w:val="00D423AC"/>
    <w:rsid w:val="00D475ED"/>
    <w:rsid w:val="00D519F2"/>
    <w:rsid w:val="00D51A9A"/>
    <w:rsid w:val="00D52F1B"/>
    <w:rsid w:val="00D533C4"/>
    <w:rsid w:val="00D55713"/>
    <w:rsid w:val="00D62705"/>
    <w:rsid w:val="00D63EE2"/>
    <w:rsid w:val="00D7065B"/>
    <w:rsid w:val="00D75BD3"/>
    <w:rsid w:val="00D8013C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2DF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23A6"/>
    <w:rsid w:val="00E265E4"/>
    <w:rsid w:val="00E26FCF"/>
    <w:rsid w:val="00E27AEB"/>
    <w:rsid w:val="00E32888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639D"/>
    <w:rsid w:val="00E839C2"/>
    <w:rsid w:val="00E878F4"/>
    <w:rsid w:val="00E93E01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uiPriority w:val="99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uiPriority w:val="99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m.hughes@iu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icg.co.uk/AICG_Web/Activity/AICG_Web/Activity.aspx?hkey=cf3af5e0-9f49-4aad-8c57-aef24e597ea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2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3296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21</cp:revision>
  <cp:lastPrinted>2018-05-25T09:24:00Z</cp:lastPrinted>
  <dcterms:created xsi:type="dcterms:W3CDTF">2025-07-16T15:12:00Z</dcterms:created>
  <dcterms:modified xsi:type="dcterms:W3CDTF">2025-07-21T07:47:00Z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